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FE3B" w14:textId="77777777" w:rsidR="00D83F89" w:rsidRDefault="00AE6949" w:rsidP="00AE69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Privacy notification</w:t>
      </w:r>
    </w:p>
    <w:p w14:paraId="46741DEF" w14:textId="77777777" w:rsidR="00AE6949" w:rsidRDefault="00AE6949" w:rsidP="00AE6949">
      <w:pPr>
        <w:jc w:val="center"/>
        <w:rPr>
          <w:rFonts w:ascii="Arial" w:hAnsi="Arial" w:cs="Arial"/>
          <w:sz w:val="24"/>
          <w:szCs w:val="24"/>
        </w:rPr>
      </w:pPr>
    </w:p>
    <w:p w14:paraId="6FAD475E" w14:textId="77777777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Barrow Borough Council is committed to complying with the General Data Protection Regulation</w:t>
      </w:r>
      <w:r w:rsidR="00F073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0733E">
        <w:rPr>
          <w:rFonts w:ascii="Arial" w:hAnsi="Arial" w:cs="Arial"/>
          <w:sz w:val="24"/>
          <w:szCs w:val="24"/>
        </w:rPr>
        <w:t xml:space="preserve">GDPR </w:t>
      </w:r>
      <w:r>
        <w:rPr>
          <w:rFonts w:ascii="Arial" w:hAnsi="Arial" w:cs="Arial"/>
          <w:sz w:val="24"/>
          <w:szCs w:val="24"/>
        </w:rPr>
        <w:t>(Regulation EU 2016/679). Protecting people’s privacy is essential to managing and processing your personal data. We will provide you with accessible information about we will manage and process your personal data.</w:t>
      </w:r>
    </w:p>
    <w:p w14:paraId="6597D06A" w14:textId="59EA9EA4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concerns about the </w:t>
      </w:r>
      <w:proofErr w:type="gramStart"/>
      <w:r>
        <w:rPr>
          <w:rFonts w:ascii="Arial" w:hAnsi="Arial" w:cs="Arial"/>
          <w:sz w:val="24"/>
          <w:szCs w:val="24"/>
        </w:rPr>
        <w:t>way</w:t>
      </w:r>
      <w:proofErr w:type="gramEnd"/>
      <w:r>
        <w:rPr>
          <w:rFonts w:ascii="Arial" w:hAnsi="Arial" w:cs="Arial"/>
          <w:sz w:val="24"/>
          <w:szCs w:val="24"/>
        </w:rPr>
        <w:t xml:space="preserve"> we are handling your personal data you can raise these with the </w:t>
      </w:r>
      <w:r w:rsidR="00742DD0">
        <w:rPr>
          <w:rFonts w:ascii="Arial" w:hAnsi="Arial" w:cs="Arial"/>
          <w:sz w:val="24"/>
          <w:szCs w:val="24"/>
        </w:rPr>
        <w:t xml:space="preserve">Head of Legal and Governance </w:t>
      </w:r>
      <w:r>
        <w:rPr>
          <w:rFonts w:ascii="Arial" w:hAnsi="Arial" w:cs="Arial"/>
          <w:sz w:val="24"/>
          <w:szCs w:val="24"/>
        </w:rPr>
        <w:t>who is the Council’s Data Protection Officer.</w:t>
      </w:r>
    </w:p>
    <w:p w14:paraId="0C2368AC" w14:textId="5C4517BA" w:rsidR="00AE6949" w:rsidRDefault="00742DD0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of Legal and Governance</w:t>
      </w:r>
    </w:p>
    <w:p w14:paraId="4573531E" w14:textId="77777777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Barrow Borough Council,</w:t>
      </w:r>
    </w:p>
    <w:p w14:paraId="74488E6C" w14:textId="77777777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 Hall,</w:t>
      </w:r>
    </w:p>
    <w:p w14:paraId="1E8CADFD" w14:textId="77777777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Duke Street,</w:t>
      </w:r>
    </w:p>
    <w:p w14:paraId="15FB73FE" w14:textId="77777777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Barrow in Furness,</w:t>
      </w:r>
    </w:p>
    <w:p w14:paraId="6A9D89C6" w14:textId="77777777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LA14 2LD</w:t>
      </w:r>
    </w:p>
    <w:p w14:paraId="38BB5B1B" w14:textId="77777777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090E79">
          <w:rPr>
            <w:rStyle w:val="Hyperlink"/>
            <w:rFonts w:ascii="Arial" w:hAnsi="Arial" w:cs="Arial"/>
            <w:sz w:val="24"/>
            <w:szCs w:val="24"/>
          </w:rPr>
          <w:t>dataprotection@barrowbc.gov.uk</w:t>
        </w:r>
      </w:hyperlink>
    </w:p>
    <w:p w14:paraId="06A2DD0D" w14:textId="77777777" w:rsidR="005616FE" w:rsidRDefault="005616FE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Privacy statement</w:t>
      </w:r>
    </w:p>
    <w:p w14:paraId="3106DEB7" w14:textId="77777777" w:rsidR="00AE6949" w:rsidRDefault="00AE6949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local authority the Council delivers </w:t>
      </w:r>
      <w:proofErr w:type="gramStart"/>
      <w:r>
        <w:rPr>
          <w:rFonts w:ascii="Arial" w:hAnsi="Arial" w:cs="Arial"/>
          <w:sz w:val="24"/>
          <w:szCs w:val="24"/>
        </w:rPr>
        <w:t>a number of</w:t>
      </w:r>
      <w:proofErr w:type="gramEnd"/>
      <w:r>
        <w:rPr>
          <w:rFonts w:ascii="Arial" w:hAnsi="Arial" w:cs="Arial"/>
          <w:sz w:val="24"/>
          <w:szCs w:val="24"/>
        </w:rPr>
        <w:t xml:space="preserve"> services. To do this </w:t>
      </w:r>
      <w:r w:rsidR="00230632">
        <w:rPr>
          <w:rFonts w:ascii="Arial" w:hAnsi="Arial" w:cs="Arial"/>
          <w:sz w:val="24"/>
          <w:szCs w:val="24"/>
        </w:rPr>
        <w:t>we need to collect and process your personal data.</w:t>
      </w:r>
    </w:p>
    <w:p w14:paraId="6F9AE5A6" w14:textId="77777777" w:rsidR="00230632" w:rsidRDefault="00230632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aim to collect the minimum amount of personal data that we need to provide you with the services you require.</w:t>
      </w:r>
    </w:p>
    <w:p w14:paraId="246902F9" w14:textId="77777777" w:rsidR="00230632" w:rsidRDefault="00230632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process all personal data lawfully, </w:t>
      </w:r>
      <w:proofErr w:type="gramStart"/>
      <w:r>
        <w:rPr>
          <w:rFonts w:ascii="Arial" w:hAnsi="Arial" w:cs="Arial"/>
          <w:sz w:val="24"/>
          <w:szCs w:val="24"/>
        </w:rPr>
        <w:t>fairly</w:t>
      </w:r>
      <w:proofErr w:type="gramEnd"/>
      <w:r>
        <w:rPr>
          <w:rFonts w:ascii="Arial" w:hAnsi="Arial" w:cs="Arial"/>
          <w:sz w:val="24"/>
          <w:szCs w:val="24"/>
        </w:rPr>
        <w:t xml:space="preserve"> and transparently</w:t>
      </w:r>
      <w:r w:rsidR="00D35F2A">
        <w:rPr>
          <w:rFonts w:ascii="Arial" w:hAnsi="Arial" w:cs="Arial"/>
          <w:sz w:val="24"/>
          <w:szCs w:val="24"/>
        </w:rPr>
        <w:t>.</w:t>
      </w:r>
    </w:p>
    <w:p w14:paraId="6BA3D30F" w14:textId="77777777" w:rsidR="00230632" w:rsidRDefault="00230632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tell you the reason we are collecting your data and how we are going to process it.</w:t>
      </w:r>
    </w:p>
    <w:p w14:paraId="06E4E708" w14:textId="77777777" w:rsidR="002646E8" w:rsidRDefault="002646E8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some </w:t>
      </w:r>
      <w:proofErr w:type="gramStart"/>
      <w:r>
        <w:rPr>
          <w:rFonts w:ascii="Arial" w:hAnsi="Arial" w:cs="Arial"/>
          <w:sz w:val="24"/>
          <w:szCs w:val="24"/>
        </w:rPr>
        <w:t>cases</w:t>
      </w:r>
      <w:proofErr w:type="gramEnd"/>
      <w:r>
        <w:rPr>
          <w:rFonts w:ascii="Arial" w:hAnsi="Arial" w:cs="Arial"/>
          <w:sz w:val="24"/>
          <w:szCs w:val="24"/>
        </w:rPr>
        <w:t xml:space="preserve"> we will ask for</w:t>
      </w:r>
      <w:r w:rsidR="006E6D29">
        <w:rPr>
          <w:rFonts w:ascii="Arial" w:hAnsi="Arial" w:cs="Arial"/>
          <w:sz w:val="24"/>
          <w:szCs w:val="24"/>
        </w:rPr>
        <w:t xml:space="preserve"> your consent to allow us to process your data. </w:t>
      </w:r>
      <w:r>
        <w:rPr>
          <w:rFonts w:ascii="Arial" w:hAnsi="Arial" w:cs="Arial"/>
          <w:sz w:val="24"/>
          <w:szCs w:val="24"/>
        </w:rPr>
        <w:t xml:space="preserve">We will explain why we need </w:t>
      </w:r>
      <w:proofErr w:type="gramStart"/>
      <w:r>
        <w:rPr>
          <w:rFonts w:ascii="Arial" w:hAnsi="Arial" w:cs="Arial"/>
          <w:sz w:val="24"/>
          <w:szCs w:val="24"/>
        </w:rPr>
        <w:t>it</w:t>
      </w:r>
      <w:proofErr w:type="gramEnd"/>
      <w:r>
        <w:rPr>
          <w:rFonts w:ascii="Arial" w:hAnsi="Arial" w:cs="Arial"/>
          <w:sz w:val="24"/>
          <w:szCs w:val="24"/>
        </w:rPr>
        <w:t xml:space="preserve"> and you have the right to withdraw your consent at any time.</w:t>
      </w:r>
    </w:p>
    <w:p w14:paraId="167FC5B2" w14:textId="77777777" w:rsidR="00230632" w:rsidRDefault="00230632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perform some </w:t>
      </w:r>
      <w:proofErr w:type="gramStart"/>
      <w:r>
        <w:rPr>
          <w:rFonts w:ascii="Arial" w:hAnsi="Arial" w:cs="Arial"/>
          <w:sz w:val="24"/>
          <w:szCs w:val="24"/>
        </w:rPr>
        <w:t>functions</w:t>
      </w:r>
      <w:proofErr w:type="gramEnd"/>
      <w:r>
        <w:rPr>
          <w:rFonts w:ascii="Arial" w:hAnsi="Arial" w:cs="Arial"/>
          <w:sz w:val="24"/>
          <w:szCs w:val="24"/>
        </w:rPr>
        <w:t xml:space="preserve"> we will need to share your personal data with other departments or with our contractors.  </w:t>
      </w:r>
    </w:p>
    <w:p w14:paraId="3ED00273" w14:textId="77777777" w:rsidR="00230632" w:rsidRPr="00DC1481" w:rsidRDefault="00230632" w:rsidP="00AE694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may also be required to share your information for the prevention, </w:t>
      </w:r>
      <w:proofErr w:type="gramStart"/>
      <w:r>
        <w:rPr>
          <w:rFonts w:ascii="Arial" w:hAnsi="Arial" w:cs="Arial"/>
          <w:sz w:val="24"/>
          <w:szCs w:val="24"/>
        </w:rPr>
        <w:t>detection</w:t>
      </w:r>
      <w:proofErr w:type="gramEnd"/>
      <w:r>
        <w:rPr>
          <w:rFonts w:ascii="Arial" w:hAnsi="Arial" w:cs="Arial"/>
          <w:sz w:val="24"/>
          <w:szCs w:val="24"/>
        </w:rPr>
        <w:t xml:space="preserve"> and investigation of criminal offences.</w:t>
      </w:r>
      <w:r w:rsidR="00DC1481">
        <w:rPr>
          <w:rFonts w:ascii="Arial" w:hAnsi="Arial" w:cs="Arial"/>
          <w:sz w:val="24"/>
          <w:szCs w:val="24"/>
        </w:rPr>
        <w:t xml:space="preserve"> </w:t>
      </w:r>
      <w:r w:rsidR="00DC1481" w:rsidRPr="00B4534F">
        <w:rPr>
          <w:rFonts w:ascii="Arial" w:hAnsi="Arial" w:cs="Arial"/>
          <w:sz w:val="24"/>
          <w:szCs w:val="24"/>
        </w:rPr>
        <w:t>We may also share your data with other Council departments as required.</w:t>
      </w:r>
    </w:p>
    <w:p w14:paraId="4CFAC5E0" w14:textId="77777777" w:rsidR="00230632" w:rsidRDefault="00230632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We will endeavour to ensure that the personal data we hold about you is accurate and up to date and we will not keep it any longer than is necessary </w:t>
      </w:r>
      <w:r w:rsidR="00D35F2A">
        <w:rPr>
          <w:rFonts w:ascii="Arial" w:hAnsi="Arial" w:cs="Arial"/>
          <w:sz w:val="24"/>
          <w:szCs w:val="24"/>
        </w:rPr>
        <w:t xml:space="preserve">for the purpose it was collected for. We can hold </w:t>
      </w:r>
      <w:proofErr w:type="gramStart"/>
      <w:r w:rsidR="00D35F2A">
        <w:rPr>
          <w:rFonts w:ascii="Arial" w:hAnsi="Arial" w:cs="Arial"/>
          <w:sz w:val="24"/>
          <w:szCs w:val="24"/>
        </w:rPr>
        <w:t>you</w:t>
      </w:r>
      <w:proofErr w:type="gramEnd"/>
      <w:r w:rsidR="00D35F2A">
        <w:rPr>
          <w:rFonts w:ascii="Arial" w:hAnsi="Arial" w:cs="Arial"/>
          <w:sz w:val="24"/>
          <w:szCs w:val="24"/>
        </w:rPr>
        <w:t xml:space="preserve"> data for a longer period to help you access services more easily but we will not do this without your implicit consent.</w:t>
      </w:r>
    </w:p>
    <w:p w14:paraId="4B8602E2" w14:textId="77777777" w:rsidR="005616FE" w:rsidRDefault="005616FE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</w:t>
      </w:r>
    </w:p>
    <w:p w14:paraId="6F297024" w14:textId="77777777" w:rsidR="00D35F2A" w:rsidRDefault="00D35F2A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</w:t>
      </w:r>
      <w:r w:rsidR="002646E8">
        <w:rPr>
          <w:rFonts w:ascii="Arial" w:hAnsi="Arial" w:cs="Arial"/>
          <w:sz w:val="24"/>
          <w:szCs w:val="24"/>
        </w:rPr>
        <w:t xml:space="preserve">store and process your data securely using physical barriers and technology to prevent unlawful access to your data. If we need to share your </w:t>
      </w:r>
      <w:proofErr w:type="gramStart"/>
      <w:r w:rsidR="002646E8">
        <w:rPr>
          <w:rFonts w:ascii="Arial" w:hAnsi="Arial" w:cs="Arial"/>
          <w:sz w:val="24"/>
          <w:szCs w:val="24"/>
        </w:rPr>
        <w:t>data</w:t>
      </w:r>
      <w:proofErr w:type="gramEnd"/>
      <w:r w:rsidR="002646E8">
        <w:rPr>
          <w:rFonts w:ascii="Arial" w:hAnsi="Arial" w:cs="Arial"/>
          <w:sz w:val="24"/>
          <w:szCs w:val="24"/>
        </w:rPr>
        <w:t xml:space="preserve"> we will ensure it is transferred securely. We will not transfer your data </w:t>
      </w:r>
      <w:proofErr w:type="spellStart"/>
      <w:proofErr w:type="gramStart"/>
      <w:r w:rsidR="002646E8">
        <w:rPr>
          <w:rFonts w:ascii="Arial" w:hAnsi="Arial" w:cs="Arial"/>
          <w:sz w:val="24"/>
          <w:szCs w:val="24"/>
        </w:rPr>
        <w:t>out side</w:t>
      </w:r>
      <w:proofErr w:type="spellEnd"/>
      <w:proofErr w:type="gramEnd"/>
      <w:r w:rsidR="002646E8">
        <w:rPr>
          <w:rFonts w:ascii="Arial" w:hAnsi="Arial" w:cs="Arial"/>
          <w:sz w:val="24"/>
          <w:szCs w:val="24"/>
        </w:rPr>
        <w:t xml:space="preserve"> the European Union. </w:t>
      </w:r>
    </w:p>
    <w:p w14:paraId="23BFFF54" w14:textId="77777777" w:rsidR="005616FE" w:rsidRDefault="005616FE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Individual’s rights.</w:t>
      </w:r>
    </w:p>
    <w:p w14:paraId="17B302E0" w14:textId="77777777" w:rsidR="00F0733E" w:rsidRDefault="00F0733E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use our privacy notice to inform you of your rights under General Data Protection Regulation </w:t>
      </w:r>
    </w:p>
    <w:p w14:paraId="4981F82F" w14:textId="77777777" w:rsidR="002646E8" w:rsidRDefault="002646E8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comply with your rights under </w:t>
      </w:r>
      <w:r w:rsidR="00F0733E">
        <w:rPr>
          <w:rFonts w:ascii="Arial" w:hAnsi="Arial" w:cs="Arial"/>
          <w:sz w:val="24"/>
          <w:szCs w:val="24"/>
        </w:rPr>
        <w:t xml:space="preserve">GDPR </w:t>
      </w:r>
      <w:r>
        <w:rPr>
          <w:rFonts w:ascii="Arial" w:hAnsi="Arial" w:cs="Arial"/>
          <w:sz w:val="24"/>
          <w:szCs w:val="24"/>
        </w:rPr>
        <w:t>these include</w:t>
      </w:r>
      <w:r w:rsidR="00F0733E">
        <w:rPr>
          <w:rFonts w:ascii="Arial" w:hAnsi="Arial" w:cs="Arial"/>
          <w:sz w:val="24"/>
          <w:szCs w:val="24"/>
        </w:rPr>
        <w:t xml:space="preserve"> informing you of</w:t>
      </w:r>
      <w:r>
        <w:rPr>
          <w:rFonts w:ascii="Arial" w:hAnsi="Arial" w:cs="Arial"/>
          <w:sz w:val="24"/>
          <w:szCs w:val="24"/>
        </w:rPr>
        <w:t>:</w:t>
      </w:r>
    </w:p>
    <w:p w14:paraId="1A1AEE61" w14:textId="77777777" w:rsidR="002646E8" w:rsidRPr="00F0733E" w:rsidRDefault="002646E8" w:rsidP="00F073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733E">
        <w:rPr>
          <w:rFonts w:ascii="Arial" w:hAnsi="Arial" w:cs="Arial"/>
          <w:sz w:val="24"/>
          <w:szCs w:val="24"/>
        </w:rPr>
        <w:t>The name of organisations that are processing your data.</w:t>
      </w:r>
    </w:p>
    <w:p w14:paraId="1637C7C6" w14:textId="77777777" w:rsidR="002646E8" w:rsidRPr="00F0733E" w:rsidRDefault="002646E8" w:rsidP="00F073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733E">
        <w:rPr>
          <w:rFonts w:ascii="Arial" w:hAnsi="Arial" w:cs="Arial"/>
          <w:sz w:val="24"/>
          <w:szCs w:val="24"/>
        </w:rPr>
        <w:t>The types of data we are processing.</w:t>
      </w:r>
    </w:p>
    <w:p w14:paraId="74F7A3CF" w14:textId="77777777" w:rsidR="002646E8" w:rsidRPr="00F0733E" w:rsidRDefault="002646E8" w:rsidP="00F073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733E">
        <w:rPr>
          <w:rFonts w:ascii="Arial" w:hAnsi="Arial" w:cs="Arial"/>
          <w:sz w:val="24"/>
          <w:szCs w:val="24"/>
        </w:rPr>
        <w:t>The purpose and lawful basis for processing the data.</w:t>
      </w:r>
    </w:p>
    <w:p w14:paraId="5B5434D5" w14:textId="77777777" w:rsidR="00230632" w:rsidRDefault="00F0733E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have a right to your own personal </w:t>
      </w:r>
      <w:proofErr w:type="gramStart"/>
      <w:r>
        <w:rPr>
          <w:rFonts w:ascii="Arial" w:hAnsi="Arial" w:cs="Arial"/>
          <w:sz w:val="24"/>
          <w:szCs w:val="24"/>
        </w:rPr>
        <w:t>data</w:t>
      </w:r>
      <w:proofErr w:type="gramEnd"/>
      <w:r>
        <w:rPr>
          <w:rFonts w:ascii="Arial" w:hAnsi="Arial" w:cs="Arial"/>
          <w:sz w:val="24"/>
          <w:szCs w:val="24"/>
        </w:rPr>
        <w:t xml:space="preserve"> and you can request this under a </w:t>
      </w:r>
      <w:r w:rsidR="002646E8">
        <w:rPr>
          <w:rFonts w:ascii="Arial" w:hAnsi="Arial" w:cs="Arial"/>
          <w:sz w:val="24"/>
          <w:szCs w:val="24"/>
        </w:rPr>
        <w:t>Subject Access Request.</w:t>
      </w:r>
    </w:p>
    <w:p w14:paraId="487BBA4D" w14:textId="77777777" w:rsidR="00180305" w:rsidRDefault="00F0733E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have the right to </w:t>
      </w:r>
      <w:r w:rsidR="00180305">
        <w:rPr>
          <w:rFonts w:ascii="Arial" w:hAnsi="Arial" w:cs="Arial"/>
          <w:sz w:val="24"/>
          <w:szCs w:val="24"/>
        </w:rPr>
        <w:t>rectify your data if it is incorrect.</w:t>
      </w:r>
    </w:p>
    <w:p w14:paraId="4DA6FD87" w14:textId="77777777" w:rsidR="00AE6949" w:rsidRDefault="00F0733E" w:rsidP="00AE69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have the</w:t>
      </w:r>
      <w:r w:rsidR="00180305">
        <w:rPr>
          <w:rFonts w:ascii="Arial" w:hAnsi="Arial" w:cs="Arial"/>
          <w:sz w:val="24"/>
          <w:szCs w:val="24"/>
        </w:rPr>
        <w:t xml:space="preserve"> right to restrict processing unless we have lawful and legitimate grounds to continue processing.  </w:t>
      </w:r>
    </w:p>
    <w:p w14:paraId="1A5910EB" w14:textId="77777777" w:rsidR="00180305" w:rsidRPr="00180305" w:rsidRDefault="00180305" w:rsidP="00AE6949">
      <w:pPr>
        <w:rPr>
          <w:rFonts w:ascii="Arial" w:hAnsi="Arial" w:cs="Arial"/>
          <w:sz w:val="24"/>
          <w:szCs w:val="24"/>
        </w:rPr>
      </w:pPr>
      <w:r w:rsidRPr="00180305">
        <w:rPr>
          <w:rFonts w:ascii="Arial" w:hAnsi="Arial" w:cs="Arial"/>
          <w:sz w:val="24"/>
          <w:szCs w:val="24"/>
        </w:rPr>
        <w:t xml:space="preserve">You have a right to have your data erased </w:t>
      </w:r>
      <w:r w:rsidR="00E90B4B">
        <w:rPr>
          <w:rFonts w:ascii="Arial" w:hAnsi="Arial" w:cs="Arial"/>
          <w:sz w:val="24"/>
          <w:szCs w:val="24"/>
        </w:rPr>
        <w:t xml:space="preserve">in certain circumstances, </w:t>
      </w:r>
      <w:r w:rsidR="00F0733E">
        <w:rPr>
          <w:rFonts w:ascii="Arial" w:hAnsi="Arial" w:cs="Arial"/>
          <w:sz w:val="24"/>
          <w:szCs w:val="24"/>
        </w:rPr>
        <w:t>these are detailed below</w:t>
      </w:r>
      <w:r>
        <w:rPr>
          <w:rFonts w:ascii="Arial" w:hAnsi="Arial" w:cs="Arial"/>
          <w:sz w:val="24"/>
          <w:szCs w:val="24"/>
        </w:rPr>
        <w:t>:</w:t>
      </w:r>
    </w:p>
    <w:p w14:paraId="65EAB7EC" w14:textId="77777777" w:rsidR="00180305" w:rsidRPr="00180305" w:rsidRDefault="00180305" w:rsidP="001803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T</w:t>
      </w:r>
      <w:r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he personal data is no longer necessary in relation to the purpose for which it was originally collected</w:t>
      </w:r>
      <w:r w:rsidR="00F0733E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/</w:t>
      </w:r>
      <w:r w:rsidR="00F0733E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processed.</w:t>
      </w:r>
    </w:p>
    <w:p w14:paraId="789ECD8B" w14:textId="77777777" w:rsidR="00E90B4B" w:rsidRDefault="00180305" w:rsidP="00E90B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You</w:t>
      </w:r>
      <w:r w:rsidR="00F0733E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have a right to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withdraw your</w:t>
      </w:r>
      <w:r w:rsid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consent </w:t>
      </w:r>
    </w:p>
    <w:p w14:paraId="7F405483" w14:textId="77777777" w:rsidR="00E90B4B" w:rsidRDefault="00F0733E" w:rsidP="00E90B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Y</w:t>
      </w:r>
      <w:r w:rsid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ou</w:t>
      </w:r>
      <w:r w:rsidR="00180305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may </w:t>
      </w:r>
      <w:r w:rsidR="00180305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object to the processing</w:t>
      </w:r>
      <w:r w:rsid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of your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data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and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we will stop processing it if </w:t>
      </w:r>
      <w:r w:rsidR="00E90B4B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there is no overriding legitimate interest for </w:t>
      </w:r>
      <w:r w:rsidR="00244BA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us to continue</w:t>
      </w:r>
      <w:r w:rsidR="00E90B4B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.</w:t>
      </w:r>
    </w:p>
    <w:p w14:paraId="61F73214" w14:textId="77777777" w:rsidR="00180305" w:rsidRDefault="00244BA5" w:rsidP="001803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You have the right </w:t>
      </w:r>
      <w:r w:rsid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to </w:t>
      </w:r>
      <w:proofErr w:type="gramStart"/>
      <w:r w:rsid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erasure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this applies</w:t>
      </w:r>
      <w:r w:rsid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if</w:t>
      </w:r>
      <w:r w:rsidR="00180305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there is no overriding legitimate interest for continuing the processing.</w:t>
      </w:r>
    </w:p>
    <w:p w14:paraId="63491948" w14:textId="77777777" w:rsidR="00180305" w:rsidRDefault="00180305" w:rsidP="001803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Right to portability</w:t>
      </w:r>
    </w:p>
    <w:p w14:paraId="065BCE34" w14:textId="77777777" w:rsidR="00180305" w:rsidRPr="00180305" w:rsidRDefault="00244BA5" w:rsidP="001803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You have t</w:t>
      </w:r>
      <w:r w:rsidR="00180305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he right to data portability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which </w:t>
      </w:r>
      <w:r w:rsidR="00180305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allows </w:t>
      </w:r>
      <w:r w:rsidR="00E90B4B" w:rsidRP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you</w:t>
      </w:r>
      <w:r w:rsidR="00180305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to obtain and reuse </w:t>
      </w:r>
      <w:r w:rsidR="00E90B4B" w:rsidRP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you</w:t>
      </w:r>
      <w:r w:rsidR="00180305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r personal data for </w:t>
      </w:r>
      <w:r w:rsidR="00E90B4B" w:rsidRP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you</w:t>
      </w:r>
      <w:r w:rsidR="00180305"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r own purposes across different services.</w:t>
      </w:r>
    </w:p>
    <w:p w14:paraId="0B025BB7" w14:textId="77777777" w:rsidR="00180305" w:rsidRPr="00E90B4B" w:rsidRDefault="00180305" w:rsidP="001803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lastRenderedPageBreak/>
        <w:t xml:space="preserve">It allows </w:t>
      </w:r>
      <w:r w:rsidR="00E90B4B" w:rsidRP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you</w:t>
      </w:r>
      <w:r w:rsidRPr="0018030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to move, copy or transfer personal data easily from one IT environment to another in a safe and secure way, without hindrance to usability.</w:t>
      </w:r>
    </w:p>
    <w:p w14:paraId="74851F25" w14:textId="77777777" w:rsidR="00E90B4B" w:rsidRPr="00E90B4B" w:rsidRDefault="00E90B4B" w:rsidP="001803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A summary of when you can exerci</w:t>
      </w:r>
      <w:r w:rsidR="00CE1C3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se your rights based on lawful</w:t>
      </w:r>
      <w:r w:rsidRPr="00E90B4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processing is detailed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842"/>
        <w:gridCol w:w="1763"/>
      </w:tblGrid>
      <w:tr w:rsidR="00E90B4B" w14:paraId="01AD84C5" w14:textId="77777777" w:rsidTr="00E90B4B">
        <w:tc>
          <w:tcPr>
            <w:tcW w:w="3794" w:type="dxa"/>
          </w:tcPr>
          <w:p w14:paraId="3208B9F7" w14:textId="77777777" w:rsidR="00E90B4B" w:rsidRDefault="00E90B4B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Lawful reason for processing</w:t>
            </w:r>
          </w:p>
        </w:tc>
        <w:tc>
          <w:tcPr>
            <w:tcW w:w="1843" w:type="dxa"/>
          </w:tcPr>
          <w:p w14:paraId="13D30563" w14:textId="77777777" w:rsidR="00E90B4B" w:rsidRDefault="00E90B4B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Right to object</w:t>
            </w:r>
          </w:p>
        </w:tc>
        <w:tc>
          <w:tcPr>
            <w:tcW w:w="1842" w:type="dxa"/>
          </w:tcPr>
          <w:p w14:paraId="21825379" w14:textId="77777777" w:rsidR="00E90B4B" w:rsidRDefault="00E90B4B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Right to erasure</w:t>
            </w:r>
          </w:p>
        </w:tc>
        <w:tc>
          <w:tcPr>
            <w:tcW w:w="1763" w:type="dxa"/>
          </w:tcPr>
          <w:p w14:paraId="1FC91EC1" w14:textId="77777777" w:rsidR="00E90B4B" w:rsidRDefault="00E90B4B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Right to portability</w:t>
            </w:r>
          </w:p>
        </w:tc>
      </w:tr>
      <w:tr w:rsidR="00E90B4B" w14:paraId="0D100C28" w14:textId="77777777" w:rsidTr="00E90B4B">
        <w:tc>
          <w:tcPr>
            <w:tcW w:w="3794" w:type="dxa"/>
          </w:tcPr>
          <w:p w14:paraId="78CB24F2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have positive consent from the subject</w:t>
            </w:r>
          </w:p>
        </w:tc>
        <w:tc>
          <w:tcPr>
            <w:tcW w:w="1843" w:type="dxa"/>
          </w:tcPr>
          <w:p w14:paraId="24555EA4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but can withdraw consent</w:t>
            </w:r>
          </w:p>
        </w:tc>
        <w:tc>
          <w:tcPr>
            <w:tcW w:w="1842" w:type="dxa"/>
          </w:tcPr>
          <w:p w14:paraId="7A1C7465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63" w:type="dxa"/>
          </w:tcPr>
          <w:p w14:paraId="30AA3716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E90B4B" w14:paraId="255D226B" w14:textId="77777777" w:rsidTr="00E90B4B">
        <w:tc>
          <w:tcPr>
            <w:tcW w:w="3794" w:type="dxa"/>
          </w:tcPr>
          <w:p w14:paraId="3BAF00BF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Processing is necessary for the performance of a contract with the data subject</w:t>
            </w:r>
          </w:p>
        </w:tc>
        <w:tc>
          <w:tcPr>
            <w:tcW w:w="1843" w:type="dxa"/>
          </w:tcPr>
          <w:p w14:paraId="43BC6B4A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2E6CCFCC" w14:textId="77777777" w:rsidR="00561949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6C9DC0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63" w:type="dxa"/>
          </w:tcPr>
          <w:p w14:paraId="24ECA405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E90B4B" w14:paraId="2824A1D5" w14:textId="77777777" w:rsidTr="00E90B4B">
        <w:tc>
          <w:tcPr>
            <w:tcW w:w="3794" w:type="dxa"/>
          </w:tcPr>
          <w:p w14:paraId="00FE2B1B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Processing is necessary for compliance with a legal obligation</w:t>
            </w:r>
          </w:p>
        </w:tc>
        <w:tc>
          <w:tcPr>
            <w:tcW w:w="1843" w:type="dxa"/>
          </w:tcPr>
          <w:p w14:paraId="31C8622F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42" w:type="dxa"/>
          </w:tcPr>
          <w:p w14:paraId="6F6B6177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63" w:type="dxa"/>
          </w:tcPr>
          <w:p w14:paraId="05870703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90B4B" w14:paraId="1765F1E5" w14:textId="77777777" w:rsidTr="00E90B4B">
        <w:tc>
          <w:tcPr>
            <w:tcW w:w="3794" w:type="dxa"/>
          </w:tcPr>
          <w:p w14:paraId="20613482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Processing is necessary to protect the vital interests of a data subject or another person</w:t>
            </w:r>
          </w:p>
        </w:tc>
        <w:tc>
          <w:tcPr>
            <w:tcW w:w="1843" w:type="dxa"/>
          </w:tcPr>
          <w:p w14:paraId="4C2827AF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42" w:type="dxa"/>
          </w:tcPr>
          <w:p w14:paraId="3B8730DA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63" w:type="dxa"/>
          </w:tcPr>
          <w:p w14:paraId="4C69F196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90B4B" w14:paraId="1535BF06" w14:textId="77777777" w:rsidTr="00E90B4B">
        <w:tc>
          <w:tcPr>
            <w:tcW w:w="3794" w:type="dxa"/>
          </w:tcPr>
          <w:p w14:paraId="3CFD8EF8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Processing is necessary for the performance of a task carried out in the public interest or in the exercise of official authority invested in the controller</w:t>
            </w:r>
          </w:p>
        </w:tc>
        <w:tc>
          <w:tcPr>
            <w:tcW w:w="1843" w:type="dxa"/>
          </w:tcPr>
          <w:p w14:paraId="6662A372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42" w:type="dxa"/>
          </w:tcPr>
          <w:p w14:paraId="71254712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63" w:type="dxa"/>
          </w:tcPr>
          <w:p w14:paraId="3E2464A4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90B4B" w14:paraId="0F1C3C0F" w14:textId="77777777" w:rsidTr="00E90B4B">
        <w:tc>
          <w:tcPr>
            <w:tcW w:w="3794" w:type="dxa"/>
          </w:tcPr>
          <w:p w14:paraId="49EDFBAE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Processing is necessary for the purposes of legitimate interests pursued by the controller or a third party.</w:t>
            </w:r>
          </w:p>
        </w:tc>
        <w:tc>
          <w:tcPr>
            <w:tcW w:w="1843" w:type="dxa"/>
          </w:tcPr>
          <w:p w14:paraId="49DD2C62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42" w:type="dxa"/>
          </w:tcPr>
          <w:p w14:paraId="44FC9434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63" w:type="dxa"/>
          </w:tcPr>
          <w:p w14:paraId="28CE583F" w14:textId="77777777" w:rsidR="00E90B4B" w:rsidRDefault="00561949" w:rsidP="00AE6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4938D6C0" w14:textId="77777777" w:rsidR="00180305" w:rsidRDefault="00180305" w:rsidP="00AE6949">
      <w:pPr>
        <w:rPr>
          <w:rFonts w:ascii="Arial" w:hAnsi="Arial" w:cs="Arial"/>
          <w:sz w:val="24"/>
          <w:szCs w:val="24"/>
        </w:rPr>
      </w:pPr>
    </w:p>
    <w:p w14:paraId="249372A5" w14:textId="77777777" w:rsidR="00CE1C35" w:rsidRDefault="00CE1C35" w:rsidP="00AE6949">
      <w:pPr>
        <w:rPr>
          <w:rFonts w:ascii="Arial" w:hAnsi="Arial" w:cs="Arial"/>
          <w:sz w:val="24"/>
          <w:szCs w:val="24"/>
        </w:rPr>
      </w:pPr>
    </w:p>
    <w:p w14:paraId="47A1F730" w14:textId="77777777" w:rsidR="00CE1C35" w:rsidRPr="00AE6949" w:rsidRDefault="00CE1C35" w:rsidP="00AE6949">
      <w:pPr>
        <w:rPr>
          <w:rFonts w:ascii="Arial" w:hAnsi="Arial" w:cs="Arial"/>
          <w:sz w:val="24"/>
          <w:szCs w:val="24"/>
        </w:rPr>
      </w:pPr>
    </w:p>
    <w:sectPr w:rsidR="00CE1C35" w:rsidRPr="00AE6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69F"/>
    <w:multiLevelType w:val="multilevel"/>
    <w:tmpl w:val="E6C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731FB"/>
    <w:multiLevelType w:val="multilevel"/>
    <w:tmpl w:val="4156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6A7374"/>
    <w:multiLevelType w:val="hybridMultilevel"/>
    <w:tmpl w:val="D412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6591A"/>
    <w:multiLevelType w:val="multilevel"/>
    <w:tmpl w:val="F08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632071">
    <w:abstractNumId w:val="1"/>
  </w:num>
  <w:num w:numId="2" w16cid:durableId="244190829">
    <w:abstractNumId w:val="3"/>
  </w:num>
  <w:num w:numId="3" w16cid:durableId="1954896291">
    <w:abstractNumId w:val="0"/>
  </w:num>
  <w:num w:numId="4" w16cid:durableId="105153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949"/>
    <w:rsid w:val="00064038"/>
    <w:rsid w:val="00180305"/>
    <w:rsid w:val="00230632"/>
    <w:rsid w:val="00244BA5"/>
    <w:rsid w:val="002646E8"/>
    <w:rsid w:val="005616FE"/>
    <w:rsid w:val="00561949"/>
    <w:rsid w:val="006E6D29"/>
    <w:rsid w:val="00742DD0"/>
    <w:rsid w:val="00AE6949"/>
    <w:rsid w:val="00B4534F"/>
    <w:rsid w:val="00CE1C35"/>
    <w:rsid w:val="00D35F2A"/>
    <w:rsid w:val="00D83F89"/>
    <w:rsid w:val="00DC1481"/>
    <w:rsid w:val="00E90B4B"/>
    <w:rsid w:val="00F0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1088"/>
  <w15:docId w15:val="{45FBDB47-4A2A-4422-817F-316ADCAB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9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0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228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2037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protection@barrowb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Barrow Borough Council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Penfold</dc:creator>
  <cp:lastModifiedBy>Chris McEwan</cp:lastModifiedBy>
  <cp:revision>10</cp:revision>
  <dcterms:created xsi:type="dcterms:W3CDTF">2018-01-11T13:37:00Z</dcterms:created>
  <dcterms:modified xsi:type="dcterms:W3CDTF">2022-10-27T10:32:00Z</dcterms:modified>
</cp:coreProperties>
</file>